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BDD" w:rsidRDefault="00BC7245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B6649C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.8 </w:t>
      </w:r>
      <w:r>
        <w:rPr>
          <w:b/>
          <w:sz w:val="22"/>
          <w:szCs w:val="22"/>
        </w:rPr>
        <w:t xml:space="preserve">do </w:t>
      </w:r>
      <w:r w:rsidR="00B6649C">
        <w:rPr>
          <w:b/>
          <w:sz w:val="22"/>
          <w:szCs w:val="22"/>
        </w:rPr>
        <w:t>SWZ</w:t>
      </w:r>
      <w:bookmarkStart w:id="0" w:name="_GoBack"/>
      <w:bookmarkEnd w:id="0"/>
      <w:r>
        <w:rPr>
          <w:b/>
          <w:sz w:val="22"/>
          <w:szCs w:val="22"/>
        </w:rPr>
        <w:t>/</w:t>
      </w:r>
    </w:p>
    <w:p w:rsidR="00E53BDD" w:rsidRDefault="00BC7245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umowy</w:t>
      </w:r>
    </w:p>
    <w:p w:rsidR="00E53BDD" w:rsidRDefault="00E53BDD">
      <w:pPr>
        <w:pStyle w:val="Standard"/>
        <w:jc w:val="center"/>
        <w:rPr>
          <w:b/>
          <w:bCs/>
        </w:rPr>
      </w:pPr>
    </w:p>
    <w:p w:rsidR="00E53BDD" w:rsidRDefault="00E53BDD">
      <w:pPr>
        <w:pStyle w:val="Standard"/>
        <w:jc w:val="center"/>
        <w:rPr>
          <w:b/>
          <w:bCs/>
        </w:rPr>
      </w:pPr>
    </w:p>
    <w:p w:rsidR="00E53BDD" w:rsidRDefault="00BC7245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– Część nr 8</w:t>
      </w:r>
    </w:p>
    <w:p w:rsidR="00E53BDD" w:rsidRDefault="00E53BDD">
      <w:pPr>
        <w:pStyle w:val="Standard"/>
        <w:rPr>
          <w:b/>
          <w:u w:val="single"/>
        </w:rPr>
      </w:pPr>
    </w:p>
    <w:p w:rsidR="00E53BDD" w:rsidRDefault="00BC7245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color w:val="000000"/>
          <w:spacing w:val="-2"/>
        </w:rPr>
        <w:t xml:space="preserve"> </w:t>
      </w:r>
      <w:r>
        <w:rPr>
          <w:rFonts w:eastAsia="Andale Sans UI"/>
          <w:bCs/>
        </w:rPr>
        <w:t xml:space="preserve">dostawę do wskazanego przez Zamawiającego miejsca, fabrycznie nowego </w:t>
      </w:r>
      <w:r>
        <w:rPr>
          <w:rFonts w:eastAsia="Andale Sans UI"/>
          <w:b/>
          <w:bCs/>
        </w:rPr>
        <w:t xml:space="preserve">serwera sieciowego i serwera plików </w:t>
      </w:r>
      <w:r>
        <w:rPr>
          <w:rFonts w:eastAsia="Andale Sans UI"/>
          <w:bCs/>
        </w:rPr>
        <w:t>zgodnie z przedstawionym zestawieniem i specyfikacją.</w:t>
      </w:r>
    </w:p>
    <w:p w:rsidR="00E53BDD" w:rsidRDefault="00BC7245">
      <w:pPr>
        <w:pStyle w:val="Standard"/>
        <w:jc w:val="both"/>
        <w:rPr>
          <w:rFonts w:eastAsia="Andale Sans UI"/>
          <w:bCs/>
        </w:rPr>
      </w:pPr>
      <w:r>
        <w:rPr>
          <w:rFonts w:eastAsia="Andale Sans UI"/>
          <w:bCs/>
          <w:color w:val="000000"/>
        </w:rPr>
        <w:t xml:space="preserve">Wszystkie podane parametry opisujące przedmiot zamówienia są parametrami jakościowymi określającymi właściwości (cechy) nie gorsze niż wymagane i odnoszą się do co najmniej głównych elementów składających się na przedmiot zamówienia. </w:t>
      </w:r>
      <w:r>
        <w:rPr>
          <w:rFonts w:eastAsia="Andale Sans UI"/>
          <w:bCs/>
        </w:rPr>
        <w:t>Oznacza to, że parametry mogą być odpowiednio wyższe, jeżeli dzięki temu polepszają właściwości przedmiotu zamówienia.</w:t>
      </w:r>
    </w:p>
    <w:p w:rsidR="00E53BDD" w:rsidRDefault="00E53BDD">
      <w:pPr>
        <w:pStyle w:val="Standard"/>
        <w:jc w:val="both"/>
      </w:pPr>
    </w:p>
    <w:p w:rsidR="00E53BDD" w:rsidRDefault="00E53BDD">
      <w:pPr>
        <w:pStyle w:val="Standard"/>
        <w:jc w:val="both"/>
      </w:pPr>
    </w:p>
    <w:p w:rsidR="00E53BDD" w:rsidRDefault="00E53BDD">
      <w:pPr>
        <w:pStyle w:val="Standard"/>
      </w:pPr>
    </w:p>
    <w:tbl>
      <w:tblPr>
        <w:tblW w:w="86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6281"/>
        <w:gridCol w:w="1532"/>
      </w:tblGrid>
      <w:tr w:rsidR="00E53BDD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53BDD" w:rsidRDefault="00BC724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53BDD" w:rsidRDefault="00BC724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53BDD" w:rsidRDefault="00BC724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E53BDD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Serwer sieciowy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E53BDD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Serwer plików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BDD" w:rsidRDefault="00BC7245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:rsidR="00E53BDD" w:rsidRDefault="00E53BDD">
      <w:pPr>
        <w:pStyle w:val="Standard"/>
        <w:jc w:val="both"/>
        <w:rPr>
          <w:bCs/>
          <w:sz w:val="22"/>
          <w:szCs w:val="22"/>
        </w:rPr>
      </w:pPr>
    </w:p>
    <w:p w:rsidR="00E53BDD" w:rsidRDefault="00E53BDD">
      <w:pPr>
        <w:pStyle w:val="Standard"/>
        <w:jc w:val="both"/>
        <w:rPr>
          <w:bCs/>
          <w:sz w:val="22"/>
          <w:szCs w:val="22"/>
        </w:rPr>
      </w:pPr>
    </w:p>
    <w:p w:rsidR="00E53BDD" w:rsidRDefault="00E53BDD">
      <w:pPr>
        <w:pStyle w:val="Standard"/>
        <w:jc w:val="both"/>
        <w:rPr>
          <w:bCs/>
          <w:sz w:val="22"/>
          <w:szCs w:val="22"/>
        </w:rPr>
      </w:pPr>
    </w:p>
    <w:p w:rsidR="00E53BDD" w:rsidRDefault="00BC7245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Serwer sieciowy – parametry minimalne :</w:t>
      </w:r>
    </w:p>
    <w:tbl>
      <w:tblPr>
        <w:tblW w:w="99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6"/>
        <w:gridCol w:w="6527"/>
      </w:tblGrid>
      <w:tr w:rsidR="00E53BDD" w:rsidTr="00BC7245">
        <w:trPr>
          <w:trHeight w:val="279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Wymagania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Procesor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procesor musi posiadać 4 rdzenie, 4 wątki, o taktowaniu 2,80-4.50 GHz, 8 MB cache,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Pamięć operacyjna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GB RAM, UDIMM DDR4 ECC 3200 MHz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Dysk twardy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Typ: HDD, wewnętrzny, pojemność min. 1 TB, prędkość obrotowa 7200 </w:t>
            </w:r>
            <w:proofErr w:type="spellStart"/>
            <w:r>
              <w:rPr>
                <w:sz w:val="22"/>
                <w:szCs w:val="22"/>
              </w:rPr>
              <w:t>obr</w:t>
            </w:r>
            <w:proofErr w:type="spellEnd"/>
            <w:r>
              <w:rPr>
                <w:sz w:val="22"/>
                <w:szCs w:val="22"/>
              </w:rPr>
              <w:t>/min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Napęd optyczny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napędu optycznego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Płyta główna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2x  LAN( Gigabit Ethernet), 5 x USB 2.0, 2 x USB 3.0 1 x VGA, 1 x zarządzanie – micro USB (1 z przodu) (złącze </w:t>
            </w:r>
            <w:proofErr w:type="spellStart"/>
            <w:r>
              <w:rPr>
                <w:sz w:val="22"/>
                <w:szCs w:val="22"/>
              </w:rPr>
              <w:t>iDRAC</w:t>
            </w:r>
            <w:proofErr w:type="spellEnd"/>
            <w:r>
              <w:rPr>
                <w:sz w:val="22"/>
                <w:szCs w:val="22"/>
              </w:rPr>
              <w:t xml:space="preserve"> Direct), 4 x DIMM 288-pin 4(całkowita) / 3 (pusty), 4 (całkowity) / 3 (wolna) x wewnętrzny 3,5", 1 (całkowity) / 1 (wolna) x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4.0 x16 - pół długości, pełna wysokość 1 (całkowity) / 1 (wolna) x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4.0 x8 - pół długości, pełna wysokość (tryb x4) 1 (całkowity) / 1 (wolna) x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3.0 x1 - pół długości, pełna wysokość 1 (całkowity) / 1 (wolna) x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3.0 x8 - pół długości, pełna wysokość (tryb x4)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Kontroler zdalnego zarządzania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Zaoferowany sprzęt musi posiadać zintegrowany, sprzętowy kontroler zdalnego zarządzania klasy </w:t>
            </w:r>
            <w:proofErr w:type="spellStart"/>
            <w:r>
              <w:rPr>
                <w:sz w:val="22"/>
                <w:szCs w:val="22"/>
              </w:rPr>
              <w:t>enterprise</w:t>
            </w:r>
            <w:proofErr w:type="spellEnd"/>
            <w:r>
              <w:rPr>
                <w:sz w:val="22"/>
                <w:szCs w:val="22"/>
              </w:rPr>
              <w:t xml:space="preserve"> (np. </w:t>
            </w:r>
            <w:proofErr w:type="spellStart"/>
            <w:r>
              <w:rPr>
                <w:sz w:val="22"/>
                <w:szCs w:val="22"/>
              </w:rPr>
              <w:t>iDRAC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iLO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XClarity</w:t>
            </w:r>
            <w:proofErr w:type="spellEnd"/>
            <w:r>
              <w:rPr>
                <w:sz w:val="22"/>
                <w:szCs w:val="22"/>
              </w:rPr>
              <w:t xml:space="preserve">), będący integralną częścią płyty głównej i umożliwiający zdalne zarządzanie sprzętem niezależnie od stanu systemu operacyjnego (Out-of-Band Management). Niedopuszczalne są rozwiązania oparte na dodatkowych kartach, modułach zewnętrznych lub oprogramowaniu typu open </w:t>
            </w:r>
            <w:proofErr w:type="spellStart"/>
            <w:r>
              <w:rPr>
                <w:sz w:val="22"/>
                <w:szCs w:val="22"/>
              </w:rPr>
              <w:t>source</w:t>
            </w:r>
            <w:proofErr w:type="spellEnd"/>
            <w:r>
              <w:rPr>
                <w:sz w:val="22"/>
                <w:szCs w:val="22"/>
              </w:rPr>
              <w:t xml:space="preserve"> (np. IPMI z płyt głównych konsumenckich).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Obraz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Pamięć video 16 MB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Obsługiwane systemy operacyjne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Canonical</w:t>
            </w:r>
            <w:proofErr w:type="spellEnd"/>
            <w:r>
              <w:rPr>
                <w:sz w:val="22"/>
                <w:szCs w:val="22"/>
              </w:rPr>
              <w:t xml:space="preserve">® </w:t>
            </w:r>
            <w:proofErr w:type="spellStart"/>
            <w:r>
              <w:rPr>
                <w:sz w:val="22"/>
                <w:szCs w:val="22"/>
              </w:rPr>
              <w:t>Ubuntu</w:t>
            </w:r>
            <w:proofErr w:type="spellEnd"/>
            <w:r>
              <w:rPr>
                <w:sz w:val="22"/>
                <w:szCs w:val="22"/>
              </w:rPr>
              <w:t>® Server LTS,</w:t>
            </w:r>
          </w:p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Citrix</w:t>
            </w:r>
            <w:proofErr w:type="spellEnd"/>
            <w:r>
              <w:rPr>
                <w:sz w:val="22"/>
                <w:szCs w:val="22"/>
              </w:rPr>
              <w:t xml:space="preserve">® </w:t>
            </w:r>
            <w:proofErr w:type="spellStart"/>
            <w:r>
              <w:rPr>
                <w:sz w:val="22"/>
                <w:szCs w:val="22"/>
              </w:rPr>
              <w:t>Hypervisor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Microsoft® Windows Server® z Hyper-V,</w:t>
            </w:r>
          </w:p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Red </w:t>
            </w:r>
            <w:proofErr w:type="spellStart"/>
            <w:r>
              <w:rPr>
                <w:sz w:val="22"/>
                <w:szCs w:val="22"/>
              </w:rPr>
              <w:t>Hat</w:t>
            </w:r>
            <w:proofErr w:type="spellEnd"/>
            <w:r>
              <w:rPr>
                <w:sz w:val="22"/>
                <w:szCs w:val="22"/>
              </w:rPr>
              <w:t>® Enterprise Linux,</w:t>
            </w:r>
          </w:p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SUSE® Linux Enterprise Server,</w:t>
            </w:r>
          </w:p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VMware</w:t>
            </w:r>
            <w:proofErr w:type="spellEnd"/>
            <w:r>
              <w:rPr>
                <w:sz w:val="22"/>
                <w:szCs w:val="22"/>
              </w:rPr>
              <w:t xml:space="preserve">® </w:t>
            </w:r>
            <w:proofErr w:type="spellStart"/>
            <w:r>
              <w:rPr>
                <w:sz w:val="22"/>
                <w:szCs w:val="22"/>
              </w:rPr>
              <w:t>ESXi</w:t>
            </w:r>
            <w:proofErr w:type="spellEnd"/>
            <w:r>
              <w:rPr>
                <w:sz w:val="22"/>
                <w:szCs w:val="22"/>
              </w:rPr>
              <w:t>®*</w:t>
            </w:r>
          </w:p>
        </w:tc>
      </w:tr>
      <w:tr w:rsidR="00BC7245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BC7245" w:rsidRDefault="00BC7245" w:rsidP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Obudowa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45" w:rsidRDefault="00BC7245" w:rsidP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sprzęt musi posiadać obudowę typu Tower, będącą dedykowaną konstrukcją serwerową. Obudowa musi być zaprojektowana do pracy ciągłej 24/7, posiadać odpowiednie chłodzenie, zatoki dyskowe oraz konstrukcję przemysłową. Niedopuszczalne są obudowy przeznaczone do komputerów klasy PC.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Wsparcie producenta i certyfikacja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Oferowany model serwera musi znajdować się na oficjalnej stronie producenta sprzętu jako produkt klasy serwerowej i być objęty minimum 3-letnią gwarancją producenta realizowaną przez autoryzowany serwis (on-</w:t>
            </w:r>
            <w:proofErr w:type="spellStart"/>
            <w:r>
              <w:rPr>
                <w:sz w:val="22"/>
                <w:szCs w:val="22"/>
              </w:rPr>
              <w:t>site</w:t>
            </w:r>
            <w:proofErr w:type="spellEnd"/>
            <w:r>
              <w:rPr>
                <w:sz w:val="22"/>
                <w:szCs w:val="22"/>
              </w:rPr>
              <w:t xml:space="preserve"> lub NBD). Sprzęt musi być zgodny z systemami operacyjnymi wskazanymi w OPZ (potwierdzenie zgodności dostępne na stronie producenta).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Minimum 36 miesięcy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Przykładowy model spełniający wymagania</w:t>
            </w:r>
          </w:p>
        </w:tc>
        <w:tc>
          <w:tcPr>
            <w:tcW w:w="6527" w:type="dxa"/>
            <w:tcBorders>
              <w:left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DELL </w:t>
            </w:r>
            <w:proofErr w:type="spellStart"/>
            <w:r>
              <w:rPr>
                <w:sz w:val="22"/>
                <w:szCs w:val="22"/>
              </w:rPr>
              <w:t>PowerEdge</w:t>
            </w:r>
            <w:proofErr w:type="spellEnd"/>
            <w:r>
              <w:rPr>
                <w:sz w:val="22"/>
                <w:szCs w:val="22"/>
              </w:rPr>
              <w:t xml:space="preserve"> T150 E-2314/8GB/1x1TB/i9B</w:t>
            </w:r>
          </w:p>
        </w:tc>
      </w:tr>
      <w:tr w:rsidR="00E53BDD" w:rsidTr="00BC7245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E53BDD">
            <w:pPr>
              <w:pStyle w:val="Zawartotabeli"/>
              <w:rPr>
                <w:rFonts w:eastAsia="Andale Sans UI"/>
                <w:b/>
                <w:bCs/>
                <w:sz w:val="22"/>
                <w:szCs w:val="22"/>
              </w:rPr>
            </w:pP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E53BDD">
            <w:pPr>
              <w:pStyle w:val="Zawartotabeli"/>
              <w:rPr>
                <w:sz w:val="22"/>
                <w:szCs w:val="22"/>
              </w:rPr>
            </w:pPr>
          </w:p>
        </w:tc>
      </w:tr>
    </w:tbl>
    <w:p w:rsidR="00E53BDD" w:rsidRDefault="00E53BDD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360"/>
        <w:rPr>
          <w:rFonts w:eastAsia="Andale Sans UI"/>
          <w:b/>
          <w:bCs/>
        </w:rPr>
      </w:pPr>
    </w:p>
    <w:p w:rsidR="00E53BDD" w:rsidRDefault="00E53BDD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360"/>
        <w:rPr>
          <w:rFonts w:eastAsia="Andale Sans UI"/>
          <w:b/>
          <w:bCs/>
        </w:rPr>
      </w:pPr>
    </w:p>
    <w:p w:rsidR="00E53BDD" w:rsidRDefault="00BC7245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Serwer plików – parametry minimalne:</w:t>
      </w:r>
    </w:p>
    <w:p w:rsidR="00E53BDD" w:rsidRDefault="00E53BDD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</w:rPr>
      </w:pPr>
    </w:p>
    <w:tbl>
      <w:tblPr>
        <w:tblW w:w="992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6"/>
        <w:gridCol w:w="6527"/>
      </w:tblGrid>
      <w:tr w:rsidR="00E53BDD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Parametr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Wymagania</w:t>
            </w:r>
          </w:p>
        </w:tc>
      </w:tr>
      <w:tr w:rsidR="00E53BDD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Procesor</w:t>
            </w:r>
          </w:p>
        </w:tc>
        <w:tc>
          <w:tcPr>
            <w:tcW w:w="6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procesor musi posiadać 2 rdzenie, częstotliwość  2.6 (podstawowy) / 3.1 (turbo) GHz, architekturę 64 bitową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Pamięć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moduł 4 GB DDR4 ECC SODIMM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Kieszenie na dyski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Minimum 4 kieszenie na dyski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Rozbudowa za pomocą jednostki rozszerzającej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serwer musi umożliwiać rozbudowę do 9 dysków przy użyciu jednostki rozszerzającej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System operacyjny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Zaoferowany system operacyjny serwera musi obsługiwać wewnętrzne dyski twarde z systemami plików </w:t>
            </w:r>
            <w:proofErr w:type="spellStart"/>
            <w:r>
              <w:rPr>
                <w:sz w:val="22"/>
                <w:szCs w:val="22"/>
              </w:rPr>
              <w:t>btrfs</w:t>
            </w:r>
            <w:proofErr w:type="spellEnd"/>
            <w:r>
              <w:rPr>
                <w:sz w:val="22"/>
                <w:szCs w:val="22"/>
              </w:rPr>
              <w:t xml:space="preserve"> oraz zewnętrzne dyski twarde z systemami plików </w:t>
            </w:r>
            <w:proofErr w:type="spellStart"/>
            <w:r>
              <w:rPr>
                <w:sz w:val="22"/>
                <w:szCs w:val="22"/>
              </w:rPr>
              <w:t>Btrfs</w:t>
            </w:r>
            <w:proofErr w:type="spellEnd"/>
            <w:r>
              <w:rPr>
                <w:sz w:val="22"/>
                <w:szCs w:val="22"/>
              </w:rPr>
              <w:t xml:space="preserve">, ext4,ext3,FAT,NTFS,HFS+,exFAT, system operacyjny serwera musi obsługiwać następujące protokoły sieciowe: SMB, NFS, FTP, </w:t>
            </w:r>
            <w:proofErr w:type="spellStart"/>
            <w:r>
              <w:rPr>
                <w:sz w:val="22"/>
                <w:szCs w:val="22"/>
              </w:rPr>
              <w:t>WebDAV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CalDAV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iSCSI</w:t>
            </w:r>
            <w:proofErr w:type="spellEnd"/>
            <w:r>
              <w:rPr>
                <w:sz w:val="22"/>
                <w:szCs w:val="22"/>
              </w:rPr>
              <w:t xml:space="preserve">, Telnet, SSH, SNMP, VPN (PPTP, </w:t>
            </w:r>
            <w:proofErr w:type="spellStart"/>
            <w:r>
              <w:rPr>
                <w:sz w:val="22"/>
                <w:szCs w:val="22"/>
              </w:rPr>
              <w:t>OpenVPN</w:t>
            </w:r>
            <w:proofErr w:type="spellEnd"/>
            <w:r>
              <w:rPr>
                <w:sz w:val="22"/>
                <w:szCs w:val="22"/>
              </w:rPr>
              <w:t>, L2TP), system operacyjny serwera musi obsługiwać następujące typy macierzy RAID: JBOD, RAID 0, RAID 1, RAID 5, RAID 6, RAID 10, system operacyjny serwera musi obsługiwać Active Directory oraz LDAP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Mechanizm szyfrowania sprzętowego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serwer musi być wyposażony w sprzętowy mechanizm szyfrowania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Płyta główna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Port LAN RJ-45 1GbE x 2, Port USB 3.2 1. generacji* x 2, Gniazdo rozszerzenia </w:t>
            </w:r>
            <w:proofErr w:type="spellStart"/>
            <w:r>
              <w:rPr>
                <w:sz w:val="22"/>
                <w:szCs w:val="22"/>
              </w:rPr>
              <w:t>eSATA</w:t>
            </w:r>
            <w:proofErr w:type="spellEnd"/>
            <w:r>
              <w:rPr>
                <w:sz w:val="22"/>
                <w:szCs w:val="22"/>
              </w:rPr>
              <w:t xml:space="preserve"> x 1, Rozszerzenie karty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1 x Gen3 x2 Gniazdo aktualizacji sieci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Obsługiwane typy dysków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Zaoferowany serwer musi obsługiwać dyski 3.5" SATA HDD, Dysk SATA SSD 2,5”, M.2 2280 </w:t>
            </w:r>
            <w:proofErr w:type="spellStart"/>
            <w:r>
              <w:rPr>
                <w:sz w:val="22"/>
                <w:szCs w:val="22"/>
              </w:rPr>
              <w:t>NVMe</w:t>
            </w:r>
            <w:proofErr w:type="spellEnd"/>
            <w:r>
              <w:rPr>
                <w:sz w:val="22"/>
                <w:szCs w:val="22"/>
              </w:rPr>
              <w:t xml:space="preserve"> SSD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Funkcja Wake on LAN/WAN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Zaoferowany serwer musi obsługiwać funkcję Wake on LAN/WAN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Zasilanie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Serwer musi być zasilany napięciem 230 V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Minimum 36 miesięcy</w:t>
            </w:r>
          </w:p>
        </w:tc>
      </w:tr>
      <w:tr w:rsidR="00E53BDD">
        <w:tc>
          <w:tcPr>
            <w:tcW w:w="3396" w:type="dxa"/>
            <w:tcBorders>
              <w:left w:val="single" w:sz="4" w:space="0" w:color="000000"/>
              <w:bottom w:val="single" w:sz="4" w:space="0" w:color="000000"/>
            </w:tcBorders>
          </w:tcPr>
          <w:p w:rsidR="00E53BDD" w:rsidRDefault="00BC7245">
            <w:pPr>
              <w:pStyle w:val="Zawartotabeli"/>
              <w:rPr>
                <w:b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Przykładowy model spełniający wymagania</w:t>
            </w:r>
          </w:p>
        </w:tc>
        <w:tc>
          <w:tcPr>
            <w:tcW w:w="6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BDD" w:rsidRDefault="00BC7245">
            <w:pPr>
              <w:pStyle w:val="Standard"/>
              <w:suppressAutoHyphens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Synology</w:t>
            </w:r>
            <w:proofErr w:type="spellEnd"/>
            <w:r>
              <w:rPr>
                <w:sz w:val="22"/>
                <w:szCs w:val="22"/>
              </w:rPr>
              <w:t xml:space="preserve"> DS923+</w:t>
            </w:r>
          </w:p>
        </w:tc>
      </w:tr>
    </w:tbl>
    <w:p w:rsidR="00E53BDD" w:rsidRDefault="00E53BDD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E53BDD" w:rsidRDefault="00E53BDD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E53BDD" w:rsidRDefault="00E53BDD">
      <w:pPr>
        <w:pStyle w:val="Standard"/>
        <w:ind w:firstLine="709"/>
        <w:jc w:val="both"/>
      </w:pPr>
    </w:p>
    <w:p w:rsidR="00E53BDD" w:rsidRDefault="00BC7245">
      <w:pPr>
        <w:pStyle w:val="Standard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Pozostałe wymagania dotyczące przedmiotu zamówienia:</w:t>
      </w:r>
    </w:p>
    <w:p w:rsidR="00E53BDD" w:rsidRDefault="00BC7245">
      <w:pPr>
        <w:pStyle w:val="Standard"/>
        <w:numPr>
          <w:ilvl w:val="0"/>
          <w:numId w:val="5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E53BDD" w:rsidRDefault="00BC7245">
      <w:pPr>
        <w:pStyle w:val="Standard"/>
        <w:numPr>
          <w:ilvl w:val="0"/>
          <w:numId w:val="6"/>
        </w:numPr>
        <w:tabs>
          <w:tab w:val="left" w:pos="0"/>
          <w:tab w:val="left" w:pos="720"/>
        </w:tabs>
        <w:spacing w:line="312" w:lineRule="auto"/>
        <w:jc w:val="both"/>
      </w:pPr>
      <w:r>
        <w:t xml:space="preserve">Dostarczony sprzęt będący przedmiotem umowy musi posiadać wszystkie niezbędne kable, zasilacze oraz inne akcesoria niezbędne do jego prawidłowej pracy. </w:t>
      </w:r>
    </w:p>
    <w:p w:rsidR="00E53BDD" w:rsidRDefault="00BC7245">
      <w:pPr>
        <w:pStyle w:val="Standard"/>
        <w:numPr>
          <w:ilvl w:val="0"/>
          <w:numId w:val="7"/>
        </w:numPr>
        <w:tabs>
          <w:tab w:val="left" w:pos="0"/>
          <w:tab w:val="left" w:pos="720"/>
        </w:tabs>
        <w:spacing w:line="312" w:lineRule="auto"/>
        <w:jc w:val="both"/>
      </w:pPr>
      <w:r>
        <w:t>Sterowniki/oprogramowanie do urządzeń będą dostarczone na osobnych nośnikach.</w:t>
      </w:r>
    </w:p>
    <w:p w:rsidR="00E53BDD" w:rsidRDefault="00BC7245">
      <w:pPr>
        <w:pStyle w:val="Standard"/>
        <w:numPr>
          <w:ilvl w:val="0"/>
          <w:numId w:val="8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E53BDD" w:rsidRDefault="00BC7245">
      <w:pPr>
        <w:pStyle w:val="Standard"/>
        <w:numPr>
          <w:ilvl w:val="0"/>
          <w:numId w:val="9"/>
        </w:numPr>
        <w:tabs>
          <w:tab w:val="left" w:pos="0"/>
          <w:tab w:val="left" w:pos="720"/>
        </w:tabs>
        <w:spacing w:line="312" w:lineRule="auto"/>
        <w:jc w:val="both"/>
      </w:pPr>
      <w:r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E53BDD" w:rsidRDefault="00BC7245">
      <w:pPr>
        <w:pStyle w:val="Standard"/>
        <w:numPr>
          <w:ilvl w:val="0"/>
          <w:numId w:val="10"/>
        </w:numPr>
        <w:tabs>
          <w:tab w:val="left" w:pos="0"/>
          <w:tab w:val="left" w:pos="720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p w:rsidR="00E53BDD" w:rsidRDefault="00E53BDD">
      <w:pPr>
        <w:pStyle w:val="Standard"/>
        <w:ind w:left="709"/>
        <w:jc w:val="both"/>
        <w:rPr>
          <w:sz w:val="22"/>
          <w:szCs w:val="22"/>
        </w:rPr>
      </w:pPr>
      <w:bookmarkStart w:id="1" w:name="_Hlk114081072"/>
      <w:bookmarkEnd w:id="1"/>
    </w:p>
    <w:p w:rsidR="00E53BDD" w:rsidRDefault="00E53BDD">
      <w:pPr>
        <w:pStyle w:val="Standard"/>
        <w:ind w:left="709"/>
        <w:jc w:val="both"/>
        <w:rPr>
          <w:sz w:val="22"/>
          <w:szCs w:val="22"/>
        </w:rPr>
      </w:pPr>
    </w:p>
    <w:sectPr w:rsidR="00E53BD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66D76"/>
    <w:multiLevelType w:val="multilevel"/>
    <w:tmpl w:val="2B8299E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5D874E91"/>
    <w:multiLevelType w:val="multilevel"/>
    <w:tmpl w:val="9EACA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495E02"/>
    <w:multiLevelType w:val="multilevel"/>
    <w:tmpl w:val="9C0636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78663611"/>
    <w:multiLevelType w:val="multilevel"/>
    <w:tmpl w:val="CEC03BF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BDD"/>
    <w:rsid w:val="00B6649C"/>
    <w:rsid w:val="00BC7245"/>
    <w:rsid w:val="00E5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B70E"/>
  <w15:docId w15:val="{49AB038C-B521-4C98-8EFE-7FDC405B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Textbody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Znakiwypunktowania">
    <w:name w:val="Znaki wypunktowania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">
    <w:name w:val="Znaki numeracji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830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7</cp:revision>
  <cp:lastPrinted>2017-10-13T09:18:00Z</cp:lastPrinted>
  <dcterms:created xsi:type="dcterms:W3CDTF">2025-04-04T12:24:00Z</dcterms:created>
  <dcterms:modified xsi:type="dcterms:W3CDTF">2025-04-22T12:07:00Z</dcterms:modified>
  <dc:language>pl-PL</dc:language>
</cp:coreProperties>
</file>